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45DB" w:rsidRPr="008545DB" w:rsidRDefault="008545DB" w:rsidP="008545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45DB">
        <w:rPr>
          <w:rFonts w:ascii="Tahoma" w:eastAsia="Times New Roman" w:hAnsi="Tahoma" w:cs="Tahoma"/>
          <w:sz w:val="18"/>
          <w:szCs w:val="18"/>
          <w:lang w:val="sr-Latn-CS"/>
        </w:rPr>
        <w:t>Natalija Simeonović  </w:t>
      </w:r>
      <w:r w:rsidRPr="008545DB">
        <w:rPr>
          <w:rFonts w:ascii="Tahoma" w:eastAsia="Times New Roman" w:hAnsi="Tahoma" w:cs="Tahoma"/>
          <w:b/>
          <w:bCs/>
          <w:i/>
          <w:iCs/>
          <w:sz w:val="18"/>
          <w:szCs w:val="18"/>
          <w:lang w:val="sr-Latn-CS"/>
        </w:rPr>
        <w:t>O - dvojenosti</w:t>
      </w:r>
    </w:p>
    <w:p w:rsidR="008545DB" w:rsidRPr="008545DB" w:rsidRDefault="008545DB" w:rsidP="008545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45DB" w:rsidRPr="008545DB" w:rsidRDefault="008545DB" w:rsidP="008545D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45DB">
        <w:rPr>
          <w:rFonts w:ascii="Tahoma" w:eastAsia="Times New Roman" w:hAnsi="Tahoma" w:cs="Tahoma"/>
          <w:i/>
          <w:iCs/>
          <w:sz w:val="18"/>
          <w:szCs w:val="18"/>
          <w:lang w:val="sr-Latn-CS"/>
        </w:rPr>
        <w:t>           Jelena Krivokapić</w:t>
      </w:r>
    </w:p>
    <w:p w:rsidR="008545DB" w:rsidRPr="008545DB" w:rsidRDefault="008545DB" w:rsidP="008545D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45DB" w:rsidRPr="008545DB" w:rsidRDefault="008545DB" w:rsidP="008545D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45DB">
        <w:rPr>
          <w:rFonts w:ascii="Tahoma" w:eastAsia="Times New Roman" w:hAnsi="Tahoma" w:cs="Tahoma"/>
          <w:sz w:val="18"/>
          <w:szCs w:val="18"/>
          <w:lang w:val="sr-Latn-CS"/>
        </w:rPr>
        <w:t xml:space="preserve">Novovekovne ideje koje, kroz kombinovane moći magije i umetnosti, zagovaraju pokušaj </w:t>
      </w:r>
      <w:r w:rsidRPr="008545DB">
        <w:rPr>
          <w:rFonts w:ascii="Tahoma" w:eastAsia="Times New Roman" w:hAnsi="Tahoma" w:cs="Tahoma"/>
          <w:i/>
          <w:iCs/>
          <w:sz w:val="18"/>
          <w:szCs w:val="18"/>
          <w:lang w:val="sr-Latn-CS"/>
        </w:rPr>
        <w:t xml:space="preserve">rekreiranja ideje integralnog </w:t>
      </w:r>
      <w:r w:rsidRPr="008545DB">
        <w:rPr>
          <w:rFonts w:ascii="Tahoma" w:eastAsia="Times New Roman" w:hAnsi="Tahoma" w:cs="Tahoma"/>
          <w:sz w:val="18"/>
          <w:szCs w:val="18"/>
          <w:lang w:val="sr-Latn-CS"/>
        </w:rPr>
        <w:t xml:space="preserve">(alhemičarska knjiga Majkla Mejera, </w:t>
      </w:r>
      <w:r w:rsidRPr="008545DB">
        <w:rPr>
          <w:rFonts w:ascii="Tahoma" w:eastAsia="Times New Roman" w:hAnsi="Tahoma" w:cs="Tahoma"/>
          <w:i/>
          <w:iCs/>
          <w:sz w:val="18"/>
          <w:szCs w:val="18"/>
          <w:lang w:val="sr-Latn-CS"/>
        </w:rPr>
        <w:t>Atalanta Fugiens</w:t>
      </w:r>
      <w:r w:rsidRPr="008545DB">
        <w:rPr>
          <w:rFonts w:ascii="Tahoma" w:eastAsia="Times New Roman" w:hAnsi="Tahoma" w:cs="Tahoma"/>
          <w:sz w:val="18"/>
          <w:szCs w:val="18"/>
          <w:lang w:val="sr-Latn-CS"/>
        </w:rPr>
        <w:t xml:space="preserve">, 1618), neka su od mesta na koje se, savremeni mislioci i umetnici u svojim opusima često pozivaju. Oživljene ne toliko u kontekstu </w:t>
      </w:r>
      <w:r w:rsidRPr="008545DB">
        <w:rPr>
          <w:rFonts w:ascii="Tahoma" w:eastAsia="Times New Roman" w:hAnsi="Tahoma" w:cs="Tahoma"/>
          <w:i/>
          <w:iCs/>
          <w:sz w:val="18"/>
          <w:szCs w:val="18"/>
          <w:lang w:val="sr-Latn-CS"/>
        </w:rPr>
        <w:t>Utopije prvobitne harmonije</w:t>
      </w:r>
      <w:r w:rsidRPr="008545DB">
        <w:rPr>
          <w:rFonts w:ascii="Tahoma" w:eastAsia="Times New Roman" w:hAnsi="Tahoma" w:cs="Tahoma"/>
          <w:sz w:val="18"/>
          <w:szCs w:val="18"/>
          <w:lang w:val="sr-Latn-CS"/>
        </w:rPr>
        <w:t xml:space="preserve"> koliko u zahtevu za kreiranjem novog </w:t>
      </w:r>
      <w:r w:rsidRPr="008545DB">
        <w:rPr>
          <w:rFonts w:ascii="Tahoma" w:eastAsia="Times New Roman" w:hAnsi="Tahoma" w:cs="Tahoma"/>
          <w:i/>
          <w:iCs/>
          <w:sz w:val="18"/>
          <w:szCs w:val="18"/>
          <w:lang w:val="sr-Latn-CS"/>
        </w:rPr>
        <w:t>Integralnog poretka intimnosti</w:t>
      </w:r>
      <w:r w:rsidRPr="008545DB">
        <w:rPr>
          <w:rFonts w:ascii="Tahoma" w:eastAsia="Times New Roman" w:hAnsi="Tahoma" w:cs="Tahoma"/>
          <w:sz w:val="18"/>
          <w:szCs w:val="18"/>
          <w:lang w:val="sr-Latn-CS"/>
        </w:rPr>
        <w:t xml:space="preserve"> – ovo savremeno rekreiranje ideje</w:t>
      </w:r>
      <w:r w:rsidRPr="008545DB">
        <w:rPr>
          <w:rFonts w:ascii="Tahoma" w:eastAsia="Times New Roman" w:hAnsi="Tahoma" w:cs="Tahoma"/>
          <w:i/>
          <w:iCs/>
          <w:sz w:val="18"/>
          <w:szCs w:val="18"/>
          <w:lang w:val="sr-Latn-CS"/>
        </w:rPr>
        <w:t xml:space="preserve"> o</w:t>
      </w:r>
      <w:r w:rsidRPr="008545DB">
        <w:rPr>
          <w:rFonts w:ascii="Tahoma" w:eastAsia="Times New Roman" w:hAnsi="Tahoma" w:cs="Tahoma"/>
          <w:sz w:val="18"/>
          <w:szCs w:val="18"/>
          <w:lang w:val="sr-Latn-CS"/>
        </w:rPr>
        <w:t xml:space="preserve"> </w:t>
      </w:r>
      <w:r w:rsidRPr="008545DB">
        <w:rPr>
          <w:rFonts w:ascii="Tahoma" w:eastAsia="Times New Roman" w:hAnsi="Tahoma" w:cs="Tahoma"/>
          <w:i/>
          <w:iCs/>
          <w:sz w:val="18"/>
          <w:szCs w:val="18"/>
          <w:lang w:val="sr-Latn-CS"/>
        </w:rPr>
        <w:t>integralnom</w:t>
      </w:r>
      <w:r w:rsidRPr="008545DB">
        <w:rPr>
          <w:rFonts w:ascii="Tahoma" w:eastAsia="Times New Roman" w:hAnsi="Tahoma" w:cs="Tahoma"/>
          <w:sz w:val="18"/>
          <w:szCs w:val="18"/>
          <w:lang w:val="sr-Latn-CS"/>
        </w:rPr>
        <w:t xml:space="preserve"> odvija se u habitusu kreativnog mišljenja i delatnog potencijala rituala svakodnevice koji članovi jedne zajednice u tom smislu dele i koje bi tek trebalo da ih kvalitativno menja (Hakim Bey, Palimpsest). Inicijalna okosnica istraživanja umetnice i izložba pod nazivom „O – Dvojenosti“ očitava koliziju koja nastaje na ovim kvalitativno drugačijim zahtevima u anticipaciji apologetike svakodnevice zasnovane na kreativnoj dinamici para i „pregovaranju“ njegovih rodnih pariteta, u odnosu na nasleđene predstave o njenim tradicionalno zamišljenim i življenim podelama i ulogama.                        </w:t>
      </w:r>
    </w:p>
    <w:p w:rsidR="008545DB" w:rsidRPr="008545DB" w:rsidRDefault="008545DB" w:rsidP="008545D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45DB" w:rsidRPr="008545DB" w:rsidRDefault="008545DB" w:rsidP="008545D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45DB">
        <w:rPr>
          <w:rFonts w:ascii="Tahoma" w:eastAsia="Times New Roman" w:hAnsi="Tahoma" w:cs="Tahoma"/>
          <w:sz w:val="18"/>
          <w:szCs w:val="18"/>
          <w:lang w:val="sr-Latn-CS"/>
        </w:rPr>
        <w:t xml:space="preserve">Konceptualni aspekt rada odvija se na nivou eksproprijacije postojećeg uzorka prošlosti - Mejerovog alhemičarskog dela </w:t>
      </w:r>
      <w:r w:rsidRPr="008545DB">
        <w:rPr>
          <w:rFonts w:ascii="Tahoma" w:eastAsia="Times New Roman" w:hAnsi="Tahoma" w:cs="Tahoma"/>
          <w:i/>
          <w:iCs/>
          <w:sz w:val="18"/>
          <w:szCs w:val="18"/>
          <w:lang w:val="sr-Latn-CS"/>
        </w:rPr>
        <w:t>Atalanta Fugiens</w:t>
      </w:r>
      <w:bookmarkStart w:id="0" w:name="_ednref1"/>
      <w:r w:rsidRPr="008545DB">
        <w:rPr>
          <w:rFonts w:ascii="Tahoma" w:eastAsia="Times New Roman" w:hAnsi="Tahoma" w:cs="Tahoma"/>
          <w:sz w:val="18"/>
          <w:szCs w:val="18"/>
          <w:lang w:val="sr-Latn-CS"/>
        </w:rPr>
        <w:fldChar w:fldCharType="begin"/>
      </w:r>
      <w:r w:rsidRPr="008545DB">
        <w:rPr>
          <w:rFonts w:ascii="Tahoma" w:eastAsia="Times New Roman" w:hAnsi="Tahoma" w:cs="Tahoma"/>
          <w:sz w:val="18"/>
          <w:szCs w:val="18"/>
          <w:lang w:val="sr-Latn-CS"/>
        </w:rPr>
        <w:instrText xml:space="preserve"> HYPERLINK "file:///D:\\razno%20dokumenti\\za%20katalog%20odvojensti%20i%20dokumenti\\jelena%20tejst%20srpski.doc" \l "_edn1" \o "" </w:instrText>
      </w:r>
      <w:r w:rsidRPr="008545DB">
        <w:rPr>
          <w:rFonts w:ascii="Tahoma" w:eastAsia="Times New Roman" w:hAnsi="Tahoma" w:cs="Tahoma"/>
          <w:sz w:val="18"/>
          <w:szCs w:val="18"/>
          <w:lang w:val="sr-Latn-CS"/>
        </w:rPr>
        <w:fldChar w:fldCharType="separate"/>
      </w:r>
      <w:r w:rsidRPr="008545DB">
        <w:rPr>
          <w:rFonts w:ascii="Tahoma" w:eastAsia="Times New Roman" w:hAnsi="Tahoma" w:cs="Tahoma"/>
          <w:color w:val="0000FF"/>
          <w:sz w:val="18"/>
          <w:szCs w:val="18"/>
          <w:u w:val="single"/>
          <w:lang w:val="sr-Latn-RS"/>
        </w:rPr>
        <w:t>[1]</w:t>
      </w:r>
      <w:r w:rsidRPr="008545DB">
        <w:rPr>
          <w:rFonts w:ascii="Tahoma" w:eastAsia="Times New Roman" w:hAnsi="Tahoma" w:cs="Tahoma"/>
          <w:sz w:val="18"/>
          <w:szCs w:val="18"/>
          <w:lang w:val="sr-Latn-CS"/>
        </w:rPr>
        <w:fldChar w:fldCharType="end"/>
      </w:r>
      <w:bookmarkEnd w:id="0"/>
      <w:r w:rsidRPr="008545DB">
        <w:rPr>
          <w:rFonts w:ascii="Tahoma" w:eastAsia="Times New Roman" w:hAnsi="Tahoma" w:cs="Tahoma"/>
          <w:sz w:val="18"/>
          <w:szCs w:val="18"/>
          <w:lang w:val="sr-Latn-CS"/>
        </w:rPr>
        <w:t xml:space="preserve"> i njegovim strukturalnim dekodiranjem. Umetnica najpre preuzima grafički amblem br. 30 – sa predstavom žene i muškarca kao Sola i Lune i u tekstu najavljenim pratiocima, konstitutivnim alhemičarskim atributima parova suprotnosti: kokoška - petao, živa - sumpor, srebro - zlato, voda - vatra, zemlja - nebo. Ako na istorijskoj kompoziciji konfiguracija ovih elemenata najavljuje virtuelni prag završnog alhemičarskog eksperimenta i njegov „destilat“ u hipotetičkom dualističkom sjedinjavanju para u idealno androgeno biće, predočenim sledećim amblemom knjige, u originalnoj interpretaciji umetnice ovi elementi kreiraju jednu otvorenu meta-strukturu govora o životu para i emancipaciji njihovih dualističkih priroda.</w:t>
      </w:r>
    </w:p>
    <w:p w:rsidR="008545DB" w:rsidRPr="008545DB" w:rsidRDefault="008545DB" w:rsidP="008545D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45DB" w:rsidRPr="008545DB" w:rsidRDefault="008545DB" w:rsidP="008545D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45DB">
        <w:rPr>
          <w:rFonts w:ascii="Tahoma" w:eastAsia="Times New Roman" w:hAnsi="Tahoma" w:cs="Tahoma"/>
          <w:sz w:val="18"/>
          <w:szCs w:val="18"/>
          <w:lang w:val="sr-Latn-CS"/>
        </w:rPr>
        <w:t xml:space="preserve">            Formalnom dekonstrukcijom postojeće kompozicije i reintegracijom njenih fragmenata u nizove individualnih slikarskih panoa identičnih dimenzija (70 x 185), umetnica tako replicira poziciju savremenog umetnika kao šamana ili alhemičara zatečenog u aktu proizvođenja niza eksperimentalnih alhemičarskih retorti:„ </w:t>
      </w:r>
      <w:r w:rsidRPr="008545DB">
        <w:rPr>
          <w:rFonts w:ascii="Tahoma" w:eastAsia="Times New Roman" w:hAnsi="Tahoma" w:cs="Tahoma"/>
          <w:i/>
          <w:iCs/>
          <w:sz w:val="18"/>
          <w:szCs w:val="18"/>
          <w:lang w:val="sr-Latn-CS"/>
        </w:rPr>
        <w:t xml:space="preserve">Početak listanja originalne gravure bio je kao pokretanje kazaljki u suprotnom smeru. Prvo je izvršeno odvajanje muške i ženske figure u formi printa i na formate koje su u proporcijama ljudskog tela. Od preuzetih elemenata, potom su sačinjene matrice (stensili) rekomponovane unutar „muškog“ i „ženskog“ prostora simbola. Fragmentacijom i razbijanjem osnovne forme, težište je okrenuto na fakturu slike i njenu materijalnost sa ciljem postizanja ambijentalnog kvaliteta. Jedinstvo prostora same slike, međutim, žrtvovano je u korist izmeštanja u ravan jedinstvene prostorne postavke galerije“.  </w:t>
      </w:r>
    </w:p>
    <w:p w:rsidR="008545DB" w:rsidRPr="008545DB" w:rsidRDefault="008545DB" w:rsidP="008545D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45DB" w:rsidRPr="008545DB" w:rsidRDefault="008545DB" w:rsidP="008545D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45DB">
        <w:rPr>
          <w:rFonts w:ascii="Tahoma" w:eastAsia="Times New Roman" w:hAnsi="Tahoma" w:cs="Tahoma"/>
          <w:sz w:val="18"/>
          <w:szCs w:val="18"/>
          <w:lang w:val="sr-Latn-CS"/>
        </w:rPr>
        <w:t xml:space="preserve">Na izolovanim panoima arbitrira se najpre transcendentalnost zlatnog ili plavog kolorita, u kontrastima podražavanih alhemičarskih parova suprotnosti - sunca i meseca, muškog stvaralačkog principa i ženskog plodonosnog otiska i recepijenta. Ovu kolorističku podelu „kontaminiraju“ konstelacije elemenata nebeskih tela, atmosferskih taloga, delovi mehaničkih naprava ili fragmentisani antropološki udovi, serije multipliciranih formi u aktu nekontrolisanih semantičkih izmeštanja i bujanja. Muška i ženska „priroda“ ovde se slikarskim jezikom tek proizvode. One nastaju u polju stalnog trvenja i antagonizama sopstvenih privremenih mandata: senzualnog boje i ne-boje, </w:t>
      </w:r>
      <w:r w:rsidRPr="008545DB">
        <w:rPr>
          <w:rFonts w:ascii="Tahoma" w:eastAsia="Times New Roman" w:hAnsi="Tahoma" w:cs="Tahoma"/>
          <w:sz w:val="18"/>
          <w:szCs w:val="18"/>
          <w:lang w:val="sr-Latn-CS"/>
        </w:rPr>
        <w:lastRenderedPageBreak/>
        <w:t>transcendentalne materije i njenih „ohlađenih“ bojenih rastera, u slikarskom aktu kao mehaničkom repliciranju anonimnog otiska ili oživljavanju auretičnosti iščezlog prisustva, u pregovaranoj ravnoteži između horizontalnih perspektivnih režima slike i njihovih stalnih abolicija u obrušavajuće vertikalne planove. Originalna ikonička predstava antagonizama parova suprotnosti, na seriji novostvorenih kompozicionih panoa Natalije Simeonović rekreiraju igru njihovih neprekidnih uodnošavanja u primere idealnih pariteta kroz sintakse rezova i prekida, estetiku deformacije i skrivalice, međuaktove post-barokne drame zasnovane na promenljivom statusu prirode u kulturi, sinkretizmu romantičarskih predstava o idili kao kontrapunktu porodične drame i zločina iz strasti.  </w:t>
      </w:r>
    </w:p>
    <w:p w:rsidR="008545DB" w:rsidRPr="008545DB" w:rsidRDefault="008545DB" w:rsidP="008545DB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45DB" w:rsidRPr="008545DB" w:rsidRDefault="008545DB" w:rsidP="008545DB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45DB">
        <w:rPr>
          <w:rFonts w:ascii="Tahoma" w:eastAsia="Times New Roman" w:hAnsi="Tahoma" w:cs="Tahoma"/>
          <w:sz w:val="18"/>
          <w:szCs w:val="18"/>
          <w:lang w:val="sr-Latn-CS"/>
        </w:rPr>
        <w:t xml:space="preserve">U tumačenju svake kulture i njenih lingvističkih struktura, važno mesto, kao što smo mogli da vidimo, predstavlja kritički stav koji jedan istraživač ili stvaralac zauzimaju prema postojećim govorima suprotnosti i antagonizama koji su definisali polove i parove suprotnosti. Iako fenomen na kome počiva nastanak, dinamika razvoja, kao, u krajnjoj liniji, i kontrola jednog društva, ova tendencija kreiranja dihotomija u </w:t>
      </w:r>
      <w:r w:rsidRPr="008545DB">
        <w:rPr>
          <w:rFonts w:ascii="Tahoma" w:eastAsia="Times New Roman" w:hAnsi="Tahoma" w:cs="Tahoma"/>
          <w:i/>
          <w:iCs/>
          <w:sz w:val="18"/>
          <w:szCs w:val="18"/>
          <w:lang w:val="sr-Latn-CS"/>
        </w:rPr>
        <w:t>jednom</w:t>
      </w:r>
      <w:r w:rsidRPr="008545DB">
        <w:rPr>
          <w:rFonts w:ascii="Tahoma" w:eastAsia="Times New Roman" w:hAnsi="Tahoma" w:cs="Tahoma"/>
          <w:sz w:val="18"/>
          <w:szCs w:val="18"/>
          <w:lang w:val="sr-Latn-CS"/>
        </w:rPr>
        <w:t xml:space="preserve"> ili čitavog poretka izolovanih parova suprotnosti predstavljaće pre svega sistemski gest individue u artikulaciji sopstvenih identiteta i optimalni konsenzus koji ona „pregovara“ za bivanje u ravnoteži sa sobom i svetom koji je okružuje. </w:t>
      </w:r>
    </w:p>
    <w:p w:rsidR="008545DB" w:rsidRPr="008545DB" w:rsidRDefault="008545DB" w:rsidP="008545D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8545DB" w:rsidRPr="008545DB" w:rsidRDefault="008545DB" w:rsidP="008545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45DB">
        <w:rPr>
          <w:rFonts w:ascii="Times New Roman" w:eastAsia="Times New Roman" w:hAnsi="Times New Roman" w:cs="Times New Roman"/>
          <w:sz w:val="24"/>
          <w:szCs w:val="24"/>
        </w:rPr>
        <w:br w:type="textWrapping" w:clear="all"/>
      </w:r>
    </w:p>
    <w:p w:rsidR="008545DB" w:rsidRPr="008545DB" w:rsidRDefault="008545DB" w:rsidP="008545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545DB">
        <w:rPr>
          <w:rFonts w:ascii="Times New Roman" w:eastAsia="Times New Roman" w:hAnsi="Times New Roman" w:cs="Times New Roman"/>
          <w:sz w:val="24"/>
          <w:szCs w:val="24"/>
        </w:rPr>
        <w:pict>
          <v:rect id="_x0000_i1025" style="width:154.45pt;height:.6pt" o:hrpct="330" o:hrstd="t" o:hr="t" fillcolor="#a0a0a0" stroked="f"/>
        </w:pict>
      </w:r>
    </w:p>
    <w:p w:rsidR="008545DB" w:rsidRPr="008545DB" w:rsidRDefault="008545DB" w:rsidP="008545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bookmarkStart w:id="1" w:name="_edn1"/>
    <w:p w:rsidR="008545DB" w:rsidRPr="008545DB" w:rsidRDefault="008545DB" w:rsidP="008545DB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8545DB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8545DB">
        <w:rPr>
          <w:rFonts w:ascii="Times New Roman" w:eastAsia="Times New Roman" w:hAnsi="Times New Roman" w:cs="Times New Roman"/>
          <w:sz w:val="24"/>
          <w:szCs w:val="24"/>
        </w:rPr>
        <w:instrText xml:space="preserve"> HYPERLINK "file:///D:\\razno%20dokumenti\\za%20katalog%20odvojensti%20i%20dokumenti\\jelena%20tejst%20srpski.doc" \l "_ednref1" \o "" </w:instrText>
      </w:r>
      <w:r w:rsidRPr="008545DB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8545DB">
        <w:rPr>
          <w:rFonts w:ascii="Times New Roman" w:eastAsia="SimSun" w:hAnsi="Times New Roman" w:cs="Times New Roman"/>
          <w:color w:val="0000FF"/>
          <w:sz w:val="20"/>
          <w:szCs w:val="20"/>
          <w:u w:val="single"/>
          <w:lang w:eastAsia="zh-CN"/>
        </w:rPr>
        <w:t>[1]</w:t>
      </w:r>
      <w:r w:rsidRPr="008545DB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bookmarkEnd w:id="1"/>
      <w:r w:rsidRPr="008545DB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8545DB">
        <w:rPr>
          <w:rFonts w:ascii="Times New Roman" w:eastAsia="Times New Roman" w:hAnsi="Times New Roman" w:cs="Times New Roman"/>
          <w:sz w:val="20"/>
          <w:szCs w:val="20"/>
          <w:lang w:val="sr-Latn-CS"/>
        </w:rPr>
        <w:t xml:space="preserve">Opus </w:t>
      </w:r>
      <w:r w:rsidRPr="008545DB">
        <w:rPr>
          <w:rFonts w:ascii="Times New Roman" w:eastAsia="Times New Roman" w:hAnsi="Times New Roman" w:cs="Times New Roman"/>
          <w:i/>
          <w:iCs/>
          <w:sz w:val="20"/>
          <w:szCs w:val="20"/>
          <w:lang w:val="sr-Latn-CS"/>
        </w:rPr>
        <w:t>Atalanta Fugiens</w:t>
      </w:r>
      <w:r w:rsidRPr="008545DB">
        <w:rPr>
          <w:rFonts w:ascii="Times New Roman" w:eastAsia="Times New Roman" w:hAnsi="Times New Roman" w:cs="Times New Roman"/>
          <w:sz w:val="20"/>
          <w:szCs w:val="20"/>
          <w:lang w:val="sr-Latn-CS"/>
        </w:rPr>
        <w:t xml:space="preserve"> - ili Filozofski amblemi tajni prirode (1618)</w:t>
      </w:r>
      <w:proofErr w:type="gramStart"/>
      <w:r w:rsidRPr="008545DB">
        <w:rPr>
          <w:rFonts w:ascii="Times New Roman" w:eastAsia="Times New Roman" w:hAnsi="Times New Roman" w:cs="Times New Roman"/>
          <w:sz w:val="20"/>
          <w:szCs w:val="20"/>
          <w:lang w:val="sr-Latn-CS"/>
        </w:rPr>
        <w:t>,</w:t>
      </w:r>
      <w:r w:rsidRPr="008545DB">
        <w:rPr>
          <w:rFonts w:ascii="Times New Roman" w:eastAsia="Times New Roman" w:hAnsi="Times New Roman" w:cs="Times New Roman"/>
          <w:i/>
          <w:iCs/>
          <w:sz w:val="20"/>
          <w:szCs w:val="20"/>
          <w:lang w:val="sr-Latn-CS"/>
        </w:rPr>
        <w:t xml:space="preserve"> </w:t>
      </w:r>
      <w:r w:rsidRPr="008545DB">
        <w:rPr>
          <w:rFonts w:ascii="Times New Roman" w:eastAsia="Times New Roman" w:hAnsi="Times New Roman" w:cs="Times New Roman"/>
          <w:sz w:val="20"/>
          <w:szCs w:val="20"/>
          <w:lang w:val="sr-Latn-CS"/>
        </w:rPr>
        <w:t> zamišljen</w:t>
      </w:r>
      <w:proofErr w:type="gramEnd"/>
      <w:r w:rsidRPr="008545DB">
        <w:rPr>
          <w:rFonts w:ascii="Times New Roman" w:eastAsia="Times New Roman" w:hAnsi="Times New Roman" w:cs="Times New Roman"/>
          <w:sz w:val="20"/>
          <w:szCs w:val="20"/>
          <w:lang w:val="sr-Latn-CS"/>
        </w:rPr>
        <w:t xml:space="preserve"> je kao višeslojni umetnički zapis koji objedinjuje vizuelne umetnosti, književnost i muziku u 50 (pedeset) integralnih multi-partitura blizak današnjim intermedijalnim postupcima u opusima savremenih umetnika. Tekstualna i slikovna amblematska rešenja filozofa predstavljale su kodirane instrukcije niza alhemičarskih procesa (potraga za „kamenom filozofa“) kojima se posmatrač, inicirana individua, poziva na akt neprestanog duhovnog usavršavanja i transcendiranja svoje materijalne prirode. </w:t>
      </w:r>
    </w:p>
    <w:p w:rsidR="004E1DBA" w:rsidRDefault="008545DB">
      <w:bookmarkStart w:id="2" w:name="_GoBack"/>
      <w:bookmarkEnd w:id="2"/>
    </w:p>
    <w:sectPr w:rsidR="004E1D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5DB"/>
    <w:rsid w:val="001F6ED9"/>
    <w:rsid w:val="008545DB"/>
    <w:rsid w:val="00955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456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903268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6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25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50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873</Words>
  <Characters>4981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Natalija</dc:creator>
  <cp:lastModifiedBy>Natalija</cp:lastModifiedBy>
  <cp:revision>1</cp:revision>
  <dcterms:created xsi:type="dcterms:W3CDTF">2016-01-24T14:10:00Z</dcterms:created>
  <dcterms:modified xsi:type="dcterms:W3CDTF">2016-01-24T14:11:00Z</dcterms:modified>
</cp:coreProperties>
</file>